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theme/theme1.xml" ContentType="application/vnd.openxmlformats-officedocument.theme+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2.jpeg" ContentType="image/jpeg"/>
  <Override PartName="/word/media/image1.jpeg" ContentType="image/jpeg"/>
  <Override PartName="/word/document.xml" ContentType="application/vnd.openxmlformats-officedocument.wordprocessingml.document.main+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keepNext/>
        <w:keepLines w:val="false"/>
        <w:widowControl w:val="false"/>
        <w:shd w:val="clear" w:fill="auto"/>
        <w:spacing w:lineRule="auto" w:line="276"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2"/>
          <w:sz w:val="22"/>
          <w:szCs w:val="22"/>
          <w:u w:val="none"/>
          <w:shd w:fill="FFFFFF" w:val="clear"/>
          <w:vertAlign w:val="baseline"/>
        </w:rPr>
      </w:pPr>
      <w:r>
        <w:rPr>
          <w:rFonts w:eastAsia="Arial" w:cs="Arial" w:ascii="Arial" w:hAnsi="Arial"/>
          <w:b w:val="false"/>
          <w:i w:val="false"/>
          <w:caps w:val="false"/>
          <w:smallCaps w:val="false"/>
          <w:strike w:val="false"/>
          <w:dstrike w:val="false"/>
          <w:color w:val="000000"/>
          <w:position w:val="0"/>
          <w:sz w:val="22"/>
          <w:sz w:val="22"/>
          <w:szCs w:val="22"/>
          <w:u w:val="none"/>
          <w:shd w:fill="FFFFFF" w:val="clear"/>
          <w:vertAlign w:val="baseline"/>
        </w:rPr>
      </w:r>
    </w:p>
    <w:tbl>
      <w:tblPr>
        <w:tblStyle w:val="Table1"/>
        <w:tblW w:w="10980" w:type="dxa"/>
        <w:jc w:val="left"/>
        <w:tblInd w:w="-101"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3" w:type="dxa"/>
          <w:bottom w:w="0" w:type="dxa"/>
          <w:right w:w="108" w:type="dxa"/>
        </w:tblCellMar>
        <w:tblLook w:val="0000"/>
      </w:tblPr>
      <w:tblGrid>
        <w:gridCol w:w="3060"/>
        <w:gridCol w:w="2490"/>
        <w:gridCol w:w="1438"/>
        <w:gridCol w:w="2551"/>
        <w:gridCol w:w="1"/>
        <w:gridCol w:w="91"/>
        <w:gridCol w:w="1348"/>
      </w:tblGrid>
      <w:tr>
        <w:trPr>
          <w:trHeight w:val="340" w:hRule="atLeast"/>
        </w:trPr>
        <w:tc>
          <w:tcPr>
            <w:tcW w:w="3060"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2F2F2" w:val="clear"/>
            <w:tcMar>
              <w:left w:w="103" w:type="dxa"/>
            </w:tcMar>
          </w:tcPr>
          <w:p>
            <w:pPr>
              <w:pStyle w:val="Normal"/>
              <w:rPr>
                <w:b/>
                <w:b/>
              </w:rPr>
            </w:pPr>
            <w:r>
              <w:rPr/>
              <w:drawing>
                <wp:inline distT="0" distB="0" distL="0" distR="0">
                  <wp:extent cx="1802765" cy="721360"/>
                  <wp:effectExtent l="0" t="0" r="0" b="0"/>
                  <wp:docPr id="1" name="image1.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g" descr=""/>
                          <pic:cNvPicPr>
                            <a:picLocks noChangeAspect="1" noChangeArrowheads="1"/>
                          </pic:cNvPicPr>
                        </pic:nvPicPr>
                        <pic:blipFill>
                          <a:blip r:embed="rId2"/>
                          <a:stretch>
                            <a:fillRect/>
                          </a:stretch>
                        </pic:blipFill>
                        <pic:spPr bwMode="auto">
                          <a:xfrm>
                            <a:off x="0" y="0"/>
                            <a:ext cx="1802765" cy="721360"/>
                          </a:xfrm>
                          <a:prstGeom prst="rect">
                            <a:avLst/>
                          </a:prstGeom>
                        </pic:spPr>
                      </pic:pic>
                    </a:graphicData>
                  </a:graphic>
                </wp:inline>
              </w:drawing>
            </w:r>
          </w:p>
        </w:tc>
        <w:tc>
          <w:tcPr>
            <w:tcW w:w="6480" w:type="dxa"/>
            <w:gridSpan w:val="4"/>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2F2F2" w:val="clear"/>
            <w:tcMar>
              <w:left w:w="103" w:type="dxa"/>
            </w:tcMar>
          </w:tcPr>
          <w:p>
            <w:pPr>
              <w:pStyle w:val="Normal"/>
              <w:jc w:val="center"/>
              <w:rPr/>
            </w:pPr>
            <w:r>
              <w:rPr>
                <w:b/>
                <w:sz w:val="28"/>
                <w:szCs w:val="28"/>
              </w:rPr>
              <w:t>Aymeric Spiga</w:t>
            </w:r>
          </w:p>
        </w:tc>
        <w:tc>
          <w:tcPr>
            <w:tcW w:w="1439" w:type="dxa"/>
            <w:gridSpan w:val="2"/>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2F2F2" w:val="clear"/>
            <w:tcMar>
              <w:left w:w="103" w:type="dxa"/>
            </w:tcMar>
          </w:tcPr>
          <w:p>
            <w:pPr>
              <w:pStyle w:val="Normal"/>
              <w:rPr>
                <w:b/>
                <w:b/>
              </w:rPr>
            </w:pPr>
            <w:r>
              <w:rPr>
                <w:b/>
              </w:rPr>
              <mc:AlternateContent>
                <mc:Choice Requires="wpg">
                  <w:drawing>
                    <wp:anchor behindDoc="0" distT="45720" distB="45720" distL="114300" distR="114300" simplePos="0" locked="0" layoutInCell="1" allowOverlap="1" relativeHeight="3">
                      <wp:simplePos x="0" y="0"/>
                      <wp:positionH relativeFrom="column">
                        <wp:posOffset>12700</wp:posOffset>
                      </wp:positionH>
                      <wp:positionV relativeFrom="paragraph">
                        <wp:posOffset>33020</wp:posOffset>
                      </wp:positionV>
                      <wp:extent cx="863600" cy="1017270"/>
                      <wp:effectExtent l="0" t="0" r="0" b="0"/>
                      <wp:wrapSquare wrapText="bothSides"/>
                      <wp:docPr id="2" name="image1"/>
                      <a:graphic xmlns:a="http://schemas.openxmlformats.org/drawingml/2006/main">
                        <a:graphicData uri="http://schemas.microsoft.com/office/word/2010/wordprocessingGroup">
                          <wpg:wgp>
                            <wpg:cNvGrpSpPr/>
                            <wpg:grpSpPr>
                              <a:xfrm>
                                <a:off x="0" y="0"/>
                                <a:ext cx="862920" cy="1016640"/>
                              </a:xfrm>
                            </wpg:grpSpPr>
                            <pic:pic xmlns:pic="http://schemas.openxmlformats.org/drawingml/2006/picture">
                              <pic:nvPicPr>
                                <pic:cNvPr id="0" name="Shape 2" descr=""/>
                                <pic:cNvPicPr/>
                              </pic:nvPicPr>
                              <pic:blipFill>
                                <a:blip r:embed="rId3"/>
                                <a:stretch/>
                              </pic:blipFill>
                              <pic:spPr>
                                <a:xfrm>
                                  <a:off x="0" y="0"/>
                                  <a:ext cx="862920" cy="1016640"/>
                                </a:xfrm>
                                <a:prstGeom prst="rect">
                                  <a:avLst/>
                                </a:prstGeom>
                                <a:ln>
                                  <a:noFill/>
                                </a:ln>
                              </pic:spPr>
                            </pic:pic>
                          </wpg:wgp>
                        </a:graphicData>
                      </a:graphic>
                    </wp:anchor>
                  </w:drawing>
                </mc:Choice>
                <mc:Fallback>
                  <w:pict>
                    <v:group id="shape_0" alt="image1" style="position:absolute;margin-left:1pt;margin-top:2.6pt;width:67.95pt;height:80.05pt" coordorigin="20,52" coordsize="1359,1601">
                      <v:rect id="shape_0" ID="Shape 2" stroked="f" style="position:absolute;left:20;top:52;width:1358;height:1600">
                        <v:imagedata r:id="rId3" o:detectmouseclick="t"/>
                        <w10:wrap type="none"/>
                        <v:stroke color="#3465a4" joinstyle="round" endcap="flat"/>
                      </v:rect>
                    </v:group>
                  </w:pict>
                </mc:Fallback>
              </mc:AlternateContent>
            </w:r>
          </w:p>
        </w:tc>
      </w:tr>
      <w:tr>
        <w:trPr>
          <w:trHeight w:val="340" w:hRule="atLeast"/>
        </w:trPr>
        <w:tc>
          <w:tcPr>
            <w:tcW w:w="3060"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2F2F2" w:val="clear"/>
            <w:tcMar>
              <w:left w:w="103" w:type="dxa"/>
            </w:tcMar>
          </w:tcPr>
          <w:p>
            <w:pPr>
              <w:pStyle w:val="Normal"/>
              <w:keepNext/>
              <w:keepLines w:val="false"/>
              <w:widowControl w:val="false"/>
              <w:shd w:val="clear" w:fill="auto"/>
              <w:spacing w:lineRule="auto" w:line="276" w:before="0" w:after="0"/>
              <w:ind w:left="0" w:right="0" w:hanging="0"/>
              <w:jc w:val="left"/>
              <w:rPr>
                <w:b/>
                <w:b/>
              </w:rPr>
            </w:pPr>
            <w:r>
              <w:rPr>
                <w:b/>
              </w:rPr>
            </w:r>
          </w:p>
        </w:tc>
        <w:tc>
          <w:tcPr>
            <w:tcW w:w="6480" w:type="dxa"/>
            <w:gridSpan w:val="4"/>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2F2F2" w:val="clear"/>
            <w:tcMar>
              <w:left w:w="103" w:type="dxa"/>
            </w:tcMar>
          </w:tcPr>
          <w:p>
            <w:pPr>
              <w:pStyle w:val="Normal"/>
              <w:jc w:val="center"/>
              <w:rPr/>
            </w:pPr>
            <w:r>
              <w:rPr>
                <w:b/>
                <w:sz w:val="28"/>
                <w:szCs w:val="28"/>
              </w:rPr>
              <w:t>Maître de conférences</w:t>
            </w:r>
          </w:p>
        </w:tc>
        <w:tc>
          <w:tcPr>
            <w:tcW w:w="1439" w:type="dxa"/>
            <w:gridSpan w:val="2"/>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2F2F2" w:val="clear"/>
            <w:tcMar>
              <w:left w:w="103" w:type="dxa"/>
            </w:tcMar>
          </w:tcPr>
          <w:p>
            <w:pPr>
              <w:pStyle w:val="Normal"/>
              <w:keepNext/>
              <w:keepLines w:val="false"/>
              <w:widowControl w:val="false"/>
              <w:shd w:val="clear" w:fill="auto"/>
              <w:spacing w:lineRule="auto" w:line="276" w:before="0" w:after="0"/>
              <w:ind w:left="0" w:right="0" w:hanging="0"/>
              <w:jc w:val="left"/>
              <w:rPr>
                <w:b/>
                <w:b/>
                <w:sz w:val="28"/>
                <w:szCs w:val="28"/>
              </w:rPr>
            </w:pPr>
            <w:r>
              <w:rPr>
                <w:b/>
                <w:sz w:val="28"/>
                <w:szCs w:val="28"/>
              </w:rPr>
            </w:r>
          </w:p>
        </w:tc>
      </w:tr>
      <w:tr>
        <w:trPr>
          <w:trHeight w:val="520" w:hRule="atLeast"/>
        </w:trPr>
        <w:tc>
          <w:tcPr>
            <w:tcW w:w="3060"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2F2F2" w:val="clear"/>
            <w:tcMar>
              <w:left w:w="103" w:type="dxa"/>
            </w:tcMar>
          </w:tcPr>
          <w:p>
            <w:pPr>
              <w:pStyle w:val="Normal"/>
              <w:keepNext/>
              <w:keepLines w:val="false"/>
              <w:widowControl w:val="false"/>
              <w:shd w:val="clear" w:fill="auto"/>
              <w:spacing w:lineRule="auto" w:line="276" w:before="0" w:after="0"/>
              <w:ind w:left="0" w:right="0" w:hanging="0"/>
              <w:jc w:val="left"/>
              <w:rPr>
                <w:b/>
                <w:b/>
                <w:sz w:val="28"/>
                <w:szCs w:val="28"/>
              </w:rPr>
            </w:pPr>
            <w:r>
              <w:rPr>
                <w:b/>
                <w:sz w:val="28"/>
                <w:szCs w:val="28"/>
              </w:rPr>
            </w:r>
          </w:p>
        </w:tc>
        <w:tc>
          <w:tcPr>
            <w:tcW w:w="392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2F2F2" w:val="clear"/>
            <w:tcMar>
              <w:left w:w="103" w:type="dxa"/>
            </w:tcMar>
          </w:tcPr>
          <w:p>
            <w:pPr>
              <w:pStyle w:val="Normal"/>
              <w:widowControl w:val="false"/>
              <w:spacing w:lineRule="auto" w:line="240"/>
              <w:rPr/>
            </w:pPr>
            <w:r>
              <w:rPr/>
              <w:t>Sorbonne Université</w:t>
            </w:r>
          </w:p>
          <w:p>
            <w:pPr>
              <w:pStyle w:val="Normal"/>
              <w:widowControl w:val="false"/>
              <w:spacing w:lineRule="auto" w:line="240"/>
              <w:rPr/>
            </w:pPr>
            <w:r>
              <w:rPr/>
              <w:t>Laboratoire de Météorologie Dynamique</w:t>
            </w:r>
          </w:p>
        </w:tc>
        <w:tc>
          <w:tcPr>
            <w:tcW w:w="255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2F2F2" w:val="clear"/>
            <w:tcMar>
              <w:left w:w="103" w:type="dxa"/>
            </w:tcMar>
          </w:tcPr>
          <w:p>
            <w:pPr>
              <w:pStyle w:val="Normal"/>
              <w:rPr/>
            </w:pPr>
            <w:r>
              <w:rPr/>
              <w:t>Paris, F-75005</w:t>
            </w:r>
          </w:p>
          <w:p>
            <w:pPr>
              <w:pStyle w:val="Normal"/>
              <w:rPr/>
            </w:pPr>
            <w:r>
              <w:rPr/>
              <w:t>Phone: +33 1 44 27 28 47</w:t>
            </w:r>
          </w:p>
        </w:tc>
        <w:tc>
          <w:tcPr>
            <w:tcW w:w="1440" w:type="dxa"/>
            <w:gridSpan w:val="3"/>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2F2F2" w:val="clear"/>
            <w:tcMar>
              <w:left w:w="103" w:type="dxa"/>
            </w:tcMar>
          </w:tcPr>
          <w:p>
            <w:pPr>
              <w:pStyle w:val="Normal"/>
              <w:keepNext/>
              <w:keepLines w:val="false"/>
              <w:widowControl w:val="false"/>
              <w:shd w:val="clear" w:fill="auto"/>
              <w:spacing w:lineRule="auto" w:line="276" w:before="0" w:after="0"/>
              <w:ind w:left="0" w:right="0" w:hanging="0"/>
              <w:jc w:val="left"/>
              <w:rPr/>
            </w:pPr>
            <w:r>
              <w:rPr/>
            </w:r>
          </w:p>
        </w:tc>
      </w:tr>
      <w:tr>
        <w:trPr>
          <w:trHeight w:val="260" w:hRule="atLeast"/>
        </w:trPr>
        <w:tc>
          <w:tcPr>
            <w:tcW w:w="3060"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2F2F2" w:val="clear"/>
            <w:tcMar>
              <w:left w:w="103" w:type="dxa"/>
            </w:tcMar>
          </w:tcPr>
          <w:p>
            <w:pPr>
              <w:pStyle w:val="Normal"/>
              <w:keepNext/>
              <w:keepLines w:val="false"/>
              <w:widowControl w:val="false"/>
              <w:shd w:val="clear" w:fill="auto"/>
              <w:spacing w:lineRule="auto" w:line="276" w:before="0" w:after="0"/>
              <w:ind w:left="0" w:right="0" w:hanging="0"/>
              <w:jc w:val="left"/>
              <w:rPr/>
            </w:pPr>
            <w:r>
              <w:rPr/>
            </w:r>
          </w:p>
        </w:tc>
        <w:tc>
          <w:tcPr>
            <w:tcW w:w="6480" w:type="dxa"/>
            <w:gridSpan w:val="4"/>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2F2F2" w:val="clear"/>
            <w:tcMar>
              <w:left w:w="103" w:type="dxa"/>
            </w:tcMar>
          </w:tcPr>
          <w:p>
            <w:pPr>
              <w:pStyle w:val="Normal"/>
              <w:rPr/>
            </w:pPr>
            <w:hyperlink r:id="rId4">
              <w:r>
                <w:rPr>
                  <w:rStyle w:val="LienInternet"/>
                  <w:color w:val="0563C1"/>
                  <w:u w:val="single"/>
                </w:rPr>
                <w:t>aymeric.spiga@sorbonne-universite.fr</w:t>
              </w:r>
            </w:hyperlink>
          </w:p>
          <w:p>
            <w:pPr>
              <w:pStyle w:val="Normal"/>
              <w:rPr/>
            </w:pPr>
            <w:hyperlink r:id="rId5">
              <w:r>
                <w:rPr>
                  <w:rStyle w:val="LienInternet"/>
                  <w:color w:val="1155CC"/>
                  <w:u w:val="single"/>
                </w:rPr>
                <w:t>http://www.lmd.jussieu.fr/~aslmd/</w:t>
              </w:r>
            </w:hyperlink>
          </w:p>
          <w:p>
            <w:pPr>
              <w:pStyle w:val="Normal"/>
              <w:rPr/>
            </w:pPr>
            <w:r>
              <w:rPr/>
            </w:r>
          </w:p>
        </w:tc>
        <w:tc>
          <w:tcPr>
            <w:tcW w:w="1439" w:type="dxa"/>
            <w:gridSpan w:val="2"/>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2F2F2" w:val="clear"/>
            <w:tcMar>
              <w:left w:w="103" w:type="dxa"/>
            </w:tcMar>
          </w:tcPr>
          <w:p>
            <w:pPr>
              <w:pStyle w:val="Normal"/>
              <w:keepNext/>
              <w:keepLines w:val="false"/>
              <w:widowControl w:val="false"/>
              <w:shd w:val="clear" w:fill="auto"/>
              <w:spacing w:lineRule="auto" w:line="276" w:before="0" w:after="0"/>
              <w:ind w:left="0" w:right="0" w:hanging="0"/>
              <w:jc w:val="left"/>
              <w:rPr/>
            </w:pPr>
            <w:r>
              <w:rPr/>
            </w:r>
          </w:p>
        </w:tc>
      </w:tr>
      <w:tr>
        <w:trPr>
          <w:trHeight w:val="240" w:hRule="atLeast"/>
        </w:trPr>
        <w:tc>
          <w:tcPr>
            <w:tcW w:w="10979" w:type="dxa"/>
            <w:gridSpan w:val="7"/>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E5E2D8" w:val="clear"/>
            <w:tcMar>
              <w:left w:w="103" w:type="dxa"/>
            </w:tcMar>
          </w:tcPr>
          <w:p>
            <w:pPr>
              <w:pStyle w:val="Normal"/>
              <w:rPr/>
            </w:pPr>
            <w:r>
              <w:rPr>
                <w:b/>
              </w:rPr>
              <w:t>Education:</w:t>
            </w:r>
            <w:r>
              <w:rPr>
                <w:b/>
                <w:sz w:val="20"/>
                <w:szCs w:val="20"/>
              </w:rPr>
              <w:t xml:space="preserve">  </w:t>
            </w:r>
          </w:p>
        </w:tc>
      </w:tr>
      <w:tr>
        <w:trPr>
          <w:trHeight w:val="140" w:hRule="atLeast"/>
        </w:trPr>
        <w:tc>
          <w:tcPr>
            <w:tcW w:w="5550"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rPr/>
            </w:pPr>
            <w:r>
              <w:rPr/>
              <w:t>Université Pierre et Marie Curie (now Sorbonne Université)</w:t>
            </w:r>
          </w:p>
        </w:tc>
        <w:tc>
          <w:tcPr>
            <w:tcW w:w="5429" w:type="dxa"/>
            <w:gridSpan w:val="5"/>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jc w:val="right"/>
              <w:rPr/>
            </w:pPr>
            <w:r>
              <w:rPr/>
              <w:t>Ph.D, Mesoscale Modeling of Martian Atmospheres, 2008</w:t>
            </w:r>
          </w:p>
        </w:tc>
      </w:tr>
      <w:tr>
        <w:trPr>
          <w:trHeight w:val="120" w:hRule="atLeast"/>
        </w:trPr>
        <w:tc>
          <w:tcPr>
            <w:tcW w:w="5550"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rPr/>
            </w:pPr>
            <w:r>
              <w:rPr/>
              <w:t>Université Pierre et Marie Curie (now Sorbonne Université)</w:t>
            </w:r>
          </w:p>
        </w:tc>
        <w:tc>
          <w:tcPr>
            <w:tcW w:w="5429" w:type="dxa"/>
            <w:gridSpan w:val="5"/>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jc w:val="right"/>
              <w:rPr/>
            </w:pPr>
            <w:r>
              <w:rPr/>
              <w:t>M.S., Atmosphere, Ocean and Climate Dynamics, 2005</w:t>
            </w:r>
          </w:p>
        </w:tc>
      </w:tr>
      <w:tr>
        <w:trPr>
          <w:trHeight w:val="120" w:hRule="atLeast"/>
        </w:trPr>
        <w:tc>
          <w:tcPr>
            <w:tcW w:w="5550"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rPr/>
            </w:pPr>
            <w:r>
              <w:rPr/>
              <w:t>École Polytechnique / École des Ponts et Chaussées</w:t>
            </w:r>
          </w:p>
        </w:tc>
        <w:tc>
          <w:tcPr>
            <w:tcW w:w="5429" w:type="dxa"/>
            <w:gridSpan w:val="5"/>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jc w:val="right"/>
              <w:rPr/>
            </w:pPr>
            <w:r>
              <w:rPr/>
              <w:t>B.S. / M.S. Quantum Physics, Environmental Science, 2004</w:t>
            </w:r>
          </w:p>
        </w:tc>
      </w:tr>
      <w:tr>
        <w:trPr>
          <w:trHeight w:val="120" w:hRule="atLeast"/>
        </w:trPr>
        <w:tc>
          <w:tcPr>
            <w:tcW w:w="10979" w:type="dxa"/>
            <w:gridSpan w:val="7"/>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E5E2D8" w:val="clear"/>
            <w:tcMar>
              <w:left w:w="103" w:type="dxa"/>
            </w:tcMar>
          </w:tcPr>
          <w:p>
            <w:pPr>
              <w:pStyle w:val="Normal"/>
              <w:rPr>
                <w:b/>
                <w:b/>
                <w:sz w:val="20"/>
                <w:szCs w:val="20"/>
              </w:rPr>
            </w:pPr>
            <w:r>
              <w:rPr>
                <w:b/>
              </w:rPr>
              <w:t>Professional Experience:</w:t>
            </w:r>
          </w:p>
        </w:tc>
      </w:tr>
      <w:tr>
        <w:trPr>
          <w:trHeight w:val="200" w:hRule="atLeast"/>
        </w:trPr>
        <w:tc>
          <w:tcPr>
            <w:tcW w:w="9631" w:type="dxa"/>
            <w:gridSpan w:val="6"/>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keepNext/>
              <w:keepLines w:val="false"/>
              <w:widowControl/>
              <w:numPr>
                <w:ilvl w:val="0"/>
                <w:numId w:val="1"/>
              </w:numPr>
              <w:shd w:val="clear" w:fill="auto"/>
              <w:spacing w:lineRule="auto" w:line="240" w:before="0" w:after="0"/>
              <w:ind w:left="720" w:right="0" w:hanging="360"/>
              <w:jc w:val="left"/>
              <w:rPr/>
            </w:pPr>
            <w:r>
              <w:rPr/>
              <w:t>Habilité à diriger des recherches  (Senior Associate Professor), Sorbonne Université</w:t>
            </w:r>
          </w:p>
          <w:p>
            <w:pPr>
              <w:pStyle w:val="Normal"/>
              <w:keepNext/>
              <w:keepLines w:val="false"/>
              <w:widowControl/>
              <w:numPr>
                <w:ilvl w:val="0"/>
                <w:numId w:val="1"/>
              </w:numPr>
              <w:shd w:val="clear" w:fill="auto"/>
              <w:spacing w:lineRule="auto" w:line="240" w:before="0" w:after="0"/>
              <w:ind w:left="720" w:right="0" w:hanging="360"/>
              <w:jc w:val="left"/>
              <w:rPr/>
            </w:pPr>
            <w:r>
              <w:rPr/>
              <w:t xml:space="preserve">Maître de conférences (Associate Professor), Sorbonne Université </w:t>
            </w:r>
          </w:p>
          <w:p>
            <w:pPr>
              <w:pStyle w:val="Normal"/>
              <w:keepNext/>
              <w:keepLines w:val="false"/>
              <w:widowControl/>
              <w:numPr>
                <w:ilvl w:val="0"/>
                <w:numId w:val="1"/>
              </w:numPr>
              <w:shd w:val="clear" w:fill="auto"/>
              <w:spacing w:lineRule="auto" w:line="240" w:before="0" w:after="0"/>
              <w:ind w:left="720" w:right="0" w:hanging="360"/>
              <w:jc w:val="left"/>
              <w:rPr/>
            </w:pPr>
            <w:r>
              <w:rPr/>
              <w:t>Post-doctoral research fellow, Open University (UK)</w:t>
            </w:r>
          </w:p>
        </w:tc>
        <w:tc>
          <w:tcPr>
            <w:tcW w:w="134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jc w:val="right"/>
              <w:rPr/>
            </w:pPr>
            <w:r>
              <w:rPr/>
              <w:t>2016-now</w:t>
            </w:r>
          </w:p>
          <w:p>
            <w:pPr>
              <w:pStyle w:val="Normal"/>
              <w:jc w:val="right"/>
              <w:rPr/>
            </w:pPr>
            <w:r>
              <w:rPr/>
              <w:t>2010-now</w:t>
            </w:r>
          </w:p>
          <w:p>
            <w:pPr>
              <w:pStyle w:val="Normal"/>
              <w:jc w:val="right"/>
              <w:rPr/>
            </w:pPr>
            <w:r>
              <w:rPr/>
              <w:t>2009-2010</w:t>
            </w:r>
          </w:p>
        </w:tc>
      </w:tr>
      <w:tr>
        <w:trPr>
          <w:trHeight w:val="160" w:hRule="atLeast"/>
        </w:trPr>
        <w:tc>
          <w:tcPr>
            <w:tcW w:w="10979" w:type="dxa"/>
            <w:gridSpan w:val="7"/>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E5E2D8" w:val="clear"/>
            <w:tcMar>
              <w:left w:w="103" w:type="dxa"/>
            </w:tcMar>
          </w:tcPr>
          <w:p>
            <w:pPr>
              <w:pStyle w:val="Normal"/>
              <w:rPr/>
            </w:pPr>
            <w:r>
              <w:rPr>
                <w:b/>
              </w:rPr>
              <w:t>Space mission Experience:</w:t>
            </w:r>
          </w:p>
        </w:tc>
      </w:tr>
      <w:tr>
        <w:trPr>
          <w:trHeight w:val="160" w:hRule="atLeast"/>
        </w:trPr>
        <w:tc>
          <w:tcPr>
            <w:tcW w:w="10979" w:type="dxa"/>
            <w:gridSpan w:val="7"/>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keepNext/>
              <w:keepLines w:val="false"/>
              <w:widowControl/>
              <w:numPr>
                <w:ilvl w:val="0"/>
                <w:numId w:val="1"/>
              </w:numPr>
              <w:shd w:val="clear" w:fill="auto"/>
              <w:spacing w:lineRule="auto" w:line="240" w:before="0" w:after="0"/>
              <w:ind w:left="720" w:right="0" w:hanging="360"/>
              <w:jc w:val="left"/>
              <w:rPr/>
            </w:pPr>
            <w:r>
              <w:rPr/>
              <w:t>Participating Scientist InSight (2018-now), leading InSight Atmospheres Science Theme Group</w:t>
            </w:r>
          </w:p>
          <w:p>
            <w:pPr>
              <w:pStyle w:val="Normal"/>
              <w:keepNext/>
              <w:keepLines w:val="false"/>
              <w:widowControl/>
              <w:numPr>
                <w:ilvl w:val="0"/>
                <w:numId w:val="1"/>
              </w:numPr>
              <w:shd w:val="clear" w:fill="auto"/>
              <w:spacing w:lineRule="auto" w:line="240" w:before="0" w:after="0"/>
              <w:ind w:left="720" w:right="0" w:hanging="360"/>
              <w:jc w:val="left"/>
              <w:rPr>
                <w:u w:val="none"/>
              </w:rPr>
            </w:pPr>
            <w:r>
              <w:rPr/>
              <w:t>Co-Investigator SEIS / InSight (2013-now)</w:t>
            </w:r>
          </w:p>
          <w:p>
            <w:pPr>
              <w:pStyle w:val="Normal"/>
              <w:keepNext/>
              <w:keepLines w:val="false"/>
              <w:widowControl/>
              <w:numPr>
                <w:ilvl w:val="0"/>
                <w:numId w:val="1"/>
              </w:numPr>
              <w:shd w:val="clear" w:fill="auto"/>
              <w:spacing w:lineRule="auto" w:line="240" w:before="0" w:after="0"/>
              <w:ind w:left="720" w:right="0" w:hanging="360"/>
              <w:jc w:val="left"/>
              <w:rPr>
                <w:u w:val="none"/>
              </w:rPr>
            </w:pPr>
            <w:r>
              <w:rPr/>
              <w:t>Co-Investigator ACS / ExoMars Trace Gas Orbiter (2014-2016)</w:t>
            </w:r>
          </w:p>
          <w:p>
            <w:pPr>
              <w:pStyle w:val="Normal"/>
              <w:keepNext/>
              <w:keepLines w:val="false"/>
              <w:widowControl/>
              <w:numPr>
                <w:ilvl w:val="0"/>
                <w:numId w:val="1"/>
              </w:numPr>
              <w:shd w:val="clear" w:fill="auto"/>
              <w:spacing w:lineRule="auto" w:line="240" w:before="0" w:after="0"/>
              <w:ind w:left="720" w:right="0" w:hanging="360"/>
              <w:jc w:val="left"/>
              <w:rPr>
                <w:u w:val="none"/>
              </w:rPr>
            </w:pPr>
            <w:r>
              <w:rPr/>
              <w:t>Co-Investigator DREAMS / ExoMars Schiaparelli (2011-2016)</w:t>
            </w:r>
          </w:p>
          <w:p>
            <w:pPr>
              <w:pStyle w:val="Normal"/>
              <w:keepNext/>
              <w:keepLines w:val="false"/>
              <w:widowControl/>
              <w:numPr>
                <w:ilvl w:val="0"/>
                <w:numId w:val="1"/>
              </w:numPr>
              <w:shd w:val="clear" w:fill="auto"/>
              <w:spacing w:lineRule="auto" w:line="240" w:before="0" w:after="0"/>
              <w:ind w:left="720" w:right="0" w:hanging="360"/>
              <w:jc w:val="left"/>
              <w:rPr/>
            </w:pPr>
            <w:r>
              <w:rPr/>
              <w:t>Co-Investigator OMEGA / Mars Express (2005-2013)</w:t>
            </w:r>
          </w:p>
        </w:tc>
      </w:tr>
      <w:tr>
        <w:trPr>
          <w:trHeight w:val="140" w:hRule="atLeast"/>
        </w:trPr>
        <w:tc>
          <w:tcPr>
            <w:tcW w:w="10979" w:type="dxa"/>
            <w:gridSpan w:val="7"/>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E5E2D8" w:val="clear"/>
            <w:tcMar>
              <w:left w:w="103" w:type="dxa"/>
            </w:tcMar>
          </w:tcPr>
          <w:p>
            <w:pPr>
              <w:pStyle w:val="Normal"/>
              <w:rPr>
                <w:rFonts w:ascii="Arial" w:hAnsi="Arial" w:eastAsia="Arial" w:cs="Arial"/>
                <w:b/>
                <w:b/>
                <w:sz w:val="20"/>
                <w:szCs w:val="20"/>
              </w:rPr>
            </w:pPr>
            <w:r>
              <w:rPr>
                <w:b/>
              </w:rPr>
              <w:t>Honors, Awards, Professional Achievements:</w:t>
            </w:r>
          </w:p>
        </w:tc>
      </w:tr>
      <w:tr>
        <w:trPr>
          <w:trHeight w:val="120" w:hRule="atLeast"/>
        </w:trPr>
        <w:tc>
          <w:tcPr>
            <w:tcW w:w="10979" w:type="dxa"/>
            <w:gridSpan w:val="7"/>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keepNext/>
              <w:keepLines w:val="false"/>
              <w:widowControl/>
              <w:numPr>
                <w:ilvl w:val="0"/>
                <w:numId w:val="1"/>
              </w:numPr>
              <w:shd w:val="clear" w:fill="auto"/>
              <w:spacing w:lineRule="auto" w:line="240" w:before="0" w:after="0"/>
              <w:ind w:left="720" w:right="0" w:hanging="360"/>
              <w:jc w:val="left"/>
              <w:rPr/>
            </w:pPr>
            <w:r>
              <w:rPr/>
              <w:t>2017-2022</w:t>
            </w:r>
            <w:r>
              <w:rPr>
                <w:rFonts w:eastAsia="Calibri" w:cs="Calibri"/>
                <w:b w:val="false"/>
                <w:i w:val="false"/>
                <w:caps w:val="false"/>
                <w:smallCaps w:val="false"/>
                <w:strike w:val="false"/>
                <w:dstrike w:val="false"/>
                <w:color w:val="000000"/>
                <w:position w:val="0"/>
                <w:sz w:val="22"/>
                <w:sz w:val="22"/>
                <w:szCs w:val="22"/>
                <w:u w:val="none"/>
                <w:shd w:fill="FFFFFF" w:val="clear"/>
                <w:vertAlign w:val="baseline"/>
              </w:rPr>
              <w:t xml:space="preserve"> – </w:t>
            </w:r>
            <w:r>
              <w:rPr/>
              <w:t>Selected Member of Institut Universitaire de France (top 2% of associate professors in France)</w:t>
            </w:r>
          </w:p>
          <w:p>
            <w:pPr>
              <w:pStyle w:val="Normal"/>
              <w:keepNext/>
              <w:keepLines w:val="false"/>
              <w:widowControl/>
              <w:numPr>
                <w:ilvl w:val="0"/>
                <w:numId w:val="1"/>
              </w:numPr>
              <w:shd w:val="clear" w:fill="auto"/>
              <w:spacing w:lineRule="auto" w:line="240" w:before="0" w:after="0"/>
              <w:ind w:left="720" w:right="0" w:hanging="360"/>
              <w:jc w:val="left"/>
              <w:rPr/>
            </w:pPr>
            <w:r>
              <w:rPr/>
              <w:t>2013-2015 – Délégation CNRS (half-teaching time paid for by CNRS)</w:t>
            </w:r>
          </w:p>
          <w:p>
            <w:pPr>
              <w:pStyle w:val="Normal"/>
              <w:keepNext/>
              <w:keepLines w:val="false"/>
              <w:widowControl/>
              <w:numPr>
                <w:ilvl w:val="0"/>
                <w:numId w:val="1"/>
              </w:numPr>
              <w:shd w:val="clear" w:fill="auto"/>
              <w:spacing w:lineRule="auto" w:line="240" w:before="0" w:after="0"/>
              <w:ind w:left="720" w:right="0" w:hanging="360"/>
              <w:jc w:val="left"/>
              <w:rPr/>
            </w:pPr>
            <w:r>
              <w:rPr/>
              <w:t>2009 – Best PhD in Earth and Space Science awarded by Airbus Foundation</w:t>
            </w:r>
          </w:p>
        </w:tc>
      </w:tr>
      <w:tr>
        <w:trPr>
          <w:trHeight w:val="80" w:hRule="atLeast"/>
        </w:trPr>
        <w:tc>
          <w:tcPr>
            <w:tcW w:w="10979" w:type="dxa"/>
            <w:gridSpan w:val="7"/>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E5E2D8" w:val="clear"/>
            <w:tcMar>
              <w:left w:w="103" w:type="dxa"/>
            </w:tcMar>
          </w:tcPr>
          <w:p>
            <w:pPr>
              <w:pStyle w:val="Normal"/>
              <w:rPr>
                <w:b/>
                <w:b/>
              </w:rPr>
            </w:pPr>
            <w:r>
              <w:rPr>
                <w:b/>
              </w:rPr>
              <w:t>Selected Publications:</w:t>
            </w:r>
          </w:p>
        </w:tc>
      </w:tr>
      <w:tr>
        <w:trPr>
          <w:trHeight w:val="160" w:hRule="atLeast"/>
        </w:trPr>
        <w:tc>
          <w:tcPr>
            <w:tcW w:w="10979" w:type="dxa"/>
            <w:gridSpan w:val="7"/>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CVPublicationshangingindent"/>
              <w:numPr>
                <w:ilvl w:val="0"/>
                <w:numId w:val="0"/>
              </w:numPr>
              <w:spacing w:lineRule="auto" w:line="276" w:before="0" w:after="0"/>
              <w:ind w:left="720" w:hanging="0"/>
              <w:rPr>
                <w:rFonts w:ascii="Cambria" w:hAnsi="Cambria" w:cs="" w:asciiTheme="minorHAnsi" w:cstheme="minorBidi" w:hAnsiTheme="minorHAnsi"/>
                <w:color w:val="00000A"/>
                <w:sz w:val="23"/>
              </w:rPr>
            </w:pPr>
            <w:r>
              <w:rPr/>
            </w:r>
          </w:p>
          <w:p>
            <w:pPr>
              <w:pStyle w:val="Normal"/>
              <w:rPr/>
            </w:pPr>
            <w:r>
              <w:rPr/>
              <w:t>Dr Aymeric SPIGA is author of 73 published papers [h-index = 24], 2 accepted papers and 9 submitted papers</w:t>
            </w:r>
          </w:p>
          <w:p>
            <w:pPr>
              <w:pStyle w:val="Normal"/>
              <w:rPr/>
            </w:pPr>
            <w:r>
              <w:rPr/>
            </w:r>
          </w:p>
          <w:p>
            <w:pPr>
              <w:pStyle w:val="Normal"/>
              <w:numPr>
                <w:ilvl w:val="0"/>
                <w:numId w:val="2"/>
              </w:numPr>
              <w:rPr/>
            </w:pPr>
            <w:r>
              <w:rPr/>
              <w:t xml:space="preserve">A. Spiga, S. Guerlet, E. Millour, M. Indurain, Y. Meurdesoif, S. Cabanes, T. Dubos, J. Leconte, A. Boissinot, S. Lebonnois, M. Sylvestre, and T. Fouchet. </w:t>
            </w:r>
            <w:r>
              <w:rPr>
                <w:b/>
              </w:rPr>
              <w:t>Global climate modeling of Saturn's atmosphere. Part II: Multi-annual high-resolution dynamical simulations</w:t>
            </w:r>
            <w:r>
              <w:rPr/>
              <w:t xml:space="preserve">. </w:t>
            </w:r>
            <w:r>
              <w:rPr>
                <w:rStyle w:val="Accentuation"/>
              </w:rPr>
              <w:t>Icarus</w:t>
            </w:r>
            <w:r>
              <w:rPr/>
              <w:t>, 335:113377, 2020.</w:t>
            </w:r>
          </w:p>
          <w:p>
            <w:pPr>
              <w:pStyle w:val="Normal"/>
              <w:numPr>
                <w:ilvl w:val="0"/>
                <w:numId w:val="0"/>
              </w:numPr>
              <w:ind w:left="720" w:hanging="0"/>
              <w:rPr/>
            </w:pPr>
            <w:r>
              <w:rPr/>
            </w:r>
          </w:p>
          <w:p>
            <w:pPr>
              <w:pStyle w:val="Normal"/>
              <w:numPr>
                <w:ilvl w:val="0"/>
                <w:numId w:val="2"/>
              </w:numPr>
              <w:rPr/>
            </w:pPr>
            <w:r>
              <w:rPr/>
              <w:t xml:space="preserve">M. Lefèvre, A. Spiga, and S. Lebonnois. </w:t>
            </w:r>
            <w:r>
              <w:rPr>
                <w:b/>
              </w:rPr>
              <w:t>Mesoscale modeling of Venus' bow-shape waves</w:t>
            </w:r>
            <w:r>
              <w:rPr/>
              <w:t xml:space="preserve">. </w:t>
            </w:r>
            <w:r>
              <w:rPr>
                <w:rStyle w:val="Accentuation"/>
              </w:rPr>
              <w:t>Icarus</w:t>
            </w:r>
            <w:r>
              <w:rPr/>
              <w:t>, 335:113376, 2020.</w:t>
            </w:r>
          </w:p>
          <w:p>
            <w:pPr>
              <w:pStyle w:val="Normal"/>
              <w:numPr>
                <w:ilvl w:val="0"/>
                <w:numId w:val="0"/>
              </w:numPr>
              <w:ind w:left="720" w:hanging="0"/>
              <w:rPr/>
            </w:pPr>
            <w:r>
              <w:rPr/>
            </w:r>
          </w:p>
          <w:p>
            <w:pPr>
              <w:pStyle w:val="Normal"/>
              <w:numPr>
                <w:ilvl w:val="0"/>
                <w:numId w:val="2"/>
              </w:numPr>
              <w:rPr/>
            </w:pPr>
            <w:r>
              <w:rPr/>
              <w:t xml:space="preserve">A. Spiga, D. Banfield, N. A. Teanby, F. Forget, A. Lucas, B. Kenda, J. A. Rodriguez Manfredi, R. Widmer-Schnidrig, N. Murdoch, M. T. Lemmon, R. F. Garcia, L. Martire, Ö. Karatekin, S. Le Maistre, B. Van Hove, V. Dehant, P. Lognonné, N. Mueller, R. Lorenz, D. Mimoun, S. Rodriguez, É. Beucler, I. Daubar, M. P. Golombek, T. Bertrand, Y. Nishikawa, E. Millour, L. Rolland, Q. Brissaud, T. Kawamura, A. Mocquet, R. Martin, J. Clinton, É. Stutzmann, T. Spohn, S. Smrekar, and W. B. Banerdt. </w:t>
            </w:r>
            <w:r>
              <w:rPr>
                <w:b/>
              </w:rPr>
              <w:t>Atmospheric Science with InSight</w:t>
            </w:r>
            <w:r>
              <w:rPr/>
              <w:t xml:space="preserve">. </w:t>
            </w:r>
            <w:r>
              <w:rPr>
                <w:rStyle w:val="Accentuation"/>
              </w:rPr>
              <w:t>Space Science Reviews</w:t>
            </w:r>
            <w:r>
              <w:rPr/>
              <w:t>, 214:109, 2018.</w:t>
            </w:r>
          </w:p>
          <w:p>
            <w:pPr>
              <w:pStyle w:val="Normal"/>
              <w:numPr>
                <w:ilvl w:val="0"/>
                <w:numId w:val="0"/>
              </w:numPr>
              <w:ind w:left="720" w:hanging="0"/>
              <w:rPr/>
            </w:pPr>
            <w:r>
              <w:rPr/>
            </w:r>
          </w:p>
          <w:p>
            <w:pPr>
              <w:pStyle w:val="Normal"/>
              <w:numPr>
                <w:ilvl w:val="0"/>
                <w:numId w:val="2"/>
              </w:numPr>
              <w:rPr/>
            </w:pPr>
            <w:r>
              <w:rPr/>
              <w:t xml:space="preserve">A. Spiga, D. P. Hinson, J.-B. Madeleine, T. Navarro, E. Millour, F. Forget, and F. Montmessin. </w:t>
            </w:r>
            <w:r>
              <w:rPr>
                <w:b/>
              </w:rPr>
              <w:t>Snow precipitation on Mars driven by cloud-induced night-time convection</w:t>
            </w:r>
            <w:r>
              <w:rPr/>
              <w:t xml:space="preserve">. </w:t>
            </w:r>
            <w:r>
              <w:rPr>
                <w:rStyle w:val="Accentuation"/>
              </w:rPr>
              <w:t>Nature Geoscience</w:t>
            </w:r>
            <w:r>
              <w:rPr/>
              <w:t>, 10:652--657, 2017.</w:t>
            </w:r>
          </w:p>
          <w:p>
            <w:pPr>
              <w:pStyle w:val="Normal"/>
              <w:numPr>
                <w:ilvl w:val="0"/>
                <w:numId w:val="0"/>
              </w:numPr>
              <w:ind w:left="720" w:hanging="0"/>
              <w:rPr/>
            </w:pPr>
            <w:r>
              <w:rPr/>
            </w:r>
          </w:p>
          <w:p>
            <w:pPr>
              <w:pStyle w:val="Normal"/>
              <w:numPr>
                <w:ilvl w:val="0"/>
                <w:numId w:val="2"/>
              </w:numPr>
              <w:rPr/>
            </w:pPr>
            <w:r>
              <w:rPr/>
              <w:t xml:space="preserve">M. Lefèvre, A. Spiga, and S. Lebonnois. </w:t>
            </w:r>
            <w:r>
              <w:rPr>
                <w:b/>
              </w:rPr>
              <w:t>Three-dimensional turbulence-resolving modeling of the Venusian cloud layer and induced gravity waves</w:t>
            </w:r>
            <w:r>
              <w:rPr/>
              <w:t xml:space="preserve">. </w:t>
            </w:r>
            <w:r>
              <w:rPr>
                <w:rStyle w:val="Accentuation"/>
              </w:rPr>
              <w:t>Journal of Geophysical Research (Planets)</w:t>
            </w:r>
            <w:r>
              <w:rPr/>
              <w:t>, 122:134--149, 2017.</w:t>
            </w:r>
          </w:p>
          <w:p>
            <w:pPr>
              <w:pStyle w:val="Normal"/>
              <w:ind w:left="720" w:hanging="360"/>
              <w:rPr>
                <w:u w:val="none"/>
              </w:rPr>
            </w:pPr>
            <w:r>
              <w:rPr/>
            </w:r>
          </w:p>
        </w:tc>
      </w:tr>
    </w:tbl>
    <w:p>
      <w:pPr>
        <w:pStyle w:val="Normal"/>
        <w:rPr/>
      </w:pPr>
      <w:r>
        <w:rPr/>
      </w:r>
    </w:p>
    <w:sectPr>
      <w:type w:val="nextPage"/>
      <w:pgSz w:w="12240" w:h="15840"/>
      <w:pgMar w:left="720" w:right="720" w:header="0" w:top="576" w:footer="0" w:bottom="576" w:gutter="0"/>
      <w:pgNumType w:start="1" w:fmt="decimal"/>
      <w:formProt w:val="false"/>
      <w:textDirection w:val="lrTb"/>
      <w:docGrid w:type="default" w:linePitch="24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Liberation Sans">
    <w:altName w:val="Arial"/>
    <w:charset w:val="01"/>
    <w:family w:val="roman"/>
    <w:pitch w:val="variable"/>
  </w:font>
  <w:font w:name="Georgia">
    <w:charset w:val="01"/>
    <w:family w:val="roman"/>
    <w:pitch w:val="variable"/>
  </w:font>
  <w:font w:name="Minion Pro">
    <w:charset w:val="01"/>
    <w:family w:val="roman"/>
    <w:pitch w:val="variable"/>
  </w:font>
  <w:font w:name="Arial">
    <w:charset w:val="01"/>
    <w:family w:val="roman"/>
    <w:pitch w:val="variable"/>
  </w:font>
  <w:font w:name="Cambria">
    <w:charset w:val="01"/>
    <w:family w:val="roman"/>
    <w:pitch w:val="variable"/>
  </w:font>
  <w:font w:name="Noto Sans Symbols">
    <w:charset w:val="01"/>
    <w:family w:val="swiss"/>
    <w:pitch w:val="default"/>
  </w:font>
  <w:font w:name="Courier New">
    <w:charset w:val="01"/>
    <w:family w:val="modern"/>
    <w:pitch w:val="fixed"/>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Noto Sans Symbols" w:hAnsi="Noto Sans Symbols" w:cs="Noto Sans Symbols" w:hint="default"/>
        <w:rFonts w:cs="Noto Sans Symbol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Noto Sans Symbols" w:hAnsi="Noto Sans Symbols" w:cs="Noto Sans Symbols" w:hint="default"/>
        <w:rFonts w:cs="Noto Sans Symbols"/>
      </w:rPr>
    </w:lvl>
    <w:lvl w:ilvl="3">
      <w:start w:val="1"/>
      <w:numFmt w:val="bullet"/>
      <w:lvlText w:val="●"/>
      <w:lvlJc w:val="left"/>
      <w:pPr>
        <w:ind w:left="2880" w:hanging="360"/>
      </w:pPr>
      <w:rPr>
        <w:rFonts w:ascii="Noto Sans Symbols" w:hAnsi="Noto Sans Symbols" w:cs="Noto Sans Symbols" w:hint="default"/>
        <w:rFonts w:cs="Noto Sans Symbols"/>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Noto Sans Symbols" w:hAnsi="Noto Sans Symbols" w:cs="Noto Sans Symbols" w:hint="default"/>
        <w:rFonts w:cs="Noto Sans Symbols"/>
      </w:rPr>
    </w:lvl>
    <w:lvl w:ilvl="6">
      <w:start w:val="1"/>
      <w:numFmt w:val="bullet"/>
      <w:lvlText w:val="●"/>
      <w:lvlJc w:val="left"/>
      <w:pPr>
        <w:ind w:left="5040" w:hanging="360"/>
      </w:pPr>
      <w:rPr>
        <w:rFonts w:ascii="Noto Sans Symbols" w:hAnsi="Noto Sans Symbols" w:cs="Noto Sans Symbols" w:hint="default"/>
        <w:rFonts w:cs="Noto Sans Symbols"/>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Noto Sans Symbols" w:hAnsi="Noto Sans Symbols" w:cs="Noto Sans Symbols" w:hint="default"/>
        <w:rFonts w:cs="Noto Sans Symbols"/>
      </w:rPr>
    </w:lvl>
  </w:abstractNum>
  <w:abstractNum w:abstractNumId="2">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10"/>
  <w:defaultTabStop w:val="72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szCs w:val="22"/>
        <w:lang w:val="en-US" w:eastAsia="zh-CN" w:bidi="hi-IN"/>
      </w:rPr>
    </w:rPrDefault>
    <w:pPrDefault>
      <w:pPr/>
    </w:pPrDefault>
  </w:docDefaults>
  <w:style w:type="paragraph" w:styleId="Normal">
    <w:name w:val="Normal"/>
    <w:qFormat/>
    <w:pPr>
      <w:widowControl w:val="false"/>
      <w:bidi w:val="0"/>
      <w:jc w:val="left"/>
    </w:pPr>
    <w:rPr>
      <w:rFonts w:ascii="Calibri" w:hAnsi="Calibri" w:eastAsia="Calibri" w:cs="Calibri"/>
      <w:color w:val="00000A"/>
      <w:sz w:val="22"/>
      <w:szCs w:val="22"/>
      <w:lang w:val="en-US" w:eastAsia="zh-CN" w:bidi="hi-IN"/>
    </w:rPr>
  </w:style>
  <w:style w:type="paragraph" w:styleId="Titre1">
    <w:name w:val="Heading 1"/>
    <w:next w:val="Normal"/>
    <w:qFormat/>
    <w:pPr>
      <w:keepNext/>
      <w:keepLines/>
      <w:widowControl w:val="false"/>
      <w:spacing w:lineRule="auto" w:line="240" w:before="480" w:after="120"/>
    </w:pPr>
    <w:rPr>
      <w:rFonts w:ascii="Calibri" w:hAnsi="Calibri" w:eastAsia="Calibri" w:cs="Calibri"/>
      <w:b/>
      <w:color w:val="auto"/>
      <w:sz w:val="48"/>
      <w:szCs w:val="48"/>
      <w:lang w:val="en-US" w:eastAsia="zh-CN" w:bidi="hi-IN"/>
    </w:rPr>
  </w:style>
  <w:style w:type="paragraph" w:styleId="Titre2">
    <w:name w:val="Heading 2"/>
    <w:next w:val="Normal"/>
    <w:qFormat/>
    <w:pPr>
      <w:keepNext/>
      <w:keepLines/>
      <w:widowControl w:val="false"/>
      <w:spacing w:lineRule="auto" w:line="240" w:before="360" w:after="80"/>
    </w:pPr>
    <w:rPr>
      <w:rFonts w:ascii="Calibri" w:hAnsi="Calibri" w:eastAsia="Calibri" w:cs="Calibri"/>
      <w:b/>
      <w:color w:val="auto"/>
      <w:sz w:val="36"/>
      <w:szCs w:val="36"/>
      <w:lang w:val="en-US" w:eastAsia="zh-CN" w:bidi="hi-IN"/>
    </w:rPr>
  </w:style>
  <w:style w:type="paragraph" w:styleId="Titre3">
    <w:name w:val="Heading 3"/>
    <w:next w:val="Normal"/>
    <w:qFormat/>
    <w:pPr>
      <w:keepNext/>
      <w:keepLines/>
      <w:widowControl w:val="false"/>
      <w:spacing w:lineRule="auto" w:line="240" w:before="280" w:after="80"/>
    </w:pPr>
    <w:rPr>
      <w:rFonts w:ascii="Calibri" w:hAnsi="Calibri" w:eastAsia="Calibri" w:cs="Calibri"/>
      <w:b/>
      <w:color w:val="auto"/>
      <w:sz w:val="28"/>
      <w:szCs w:val="28"/>
      <w:lang w:val="en-US" w:eastAsia="zh-CN" w:bidi="hi-IN"/>
    </w:rPr>
  </w:style>
  <w:style w:type="paragraph" w:styleId="Titre4">
    <w:name w:val="Heading 4"/>
    <w:next w:val="Normal"/>
    <w:qFormat/>
    <w:pPr>
      <w:keepNext/>
      <w:keepLines/>
      <w:widowControl w:val="false"/>
      <w:spacing w:lineRule="auto" w:line="240" w:before="240" w:after="40"/>
    </w:pPr>
    <w:rPr>
      <w:rFonts w:ascii="Calibri" w:hAnsi="Calibri" w:eastAsia="Calibri" w:cs="Calibri"/>
      <w:b/>
      <w:color w:val="auto"/>
      <w:sz w:val="24"/>
      <w:szCs w:val="24"/>
      <w:lang w:val="en-US" w:eastAsia="zh-CN" w:bidi="hi-IN"/>
    </w:rPr>
  </w:style>
  <w:style w:type="paragraph" w:styleId="Titre5">
    <w:name w:val="Heading 5"/>
    <w:next w:val="Normal"/>
    <w:qFormat/>
    <w:pPr>
      <w:keepNext/>
      <w:keepLines/>
      <w:widowControl w:val="false"/>
      <w:spacing w:lineRule="auto" w:line="240" w:before="220" w:after="40"/>
    </w:pPr>
    <w:rPr>
      <w:rFonts w:ascii="Calibri" w:hAnsi="Calibri" w:eastAsia="Calibri" w:cs="Calibri"/>
      <w:b/>
      <w:color w:val="auto"/>
      <w:sz w:val="22"/>
      <w:szCs w:val="22"/>
      <w:lang w:val="en-US" w:eastAsia="zh-CN" w:bidi="hi-IN"/>
    </w:rPr>
  </w:style>
  <w:style w:type="paragraph" w:styleId="Titre6">
    <w:name w:val="Heading 6"/>
    <w:next w:val="Normal"/>
    <w:qFormat/>
    <w:pPr>
      <w:keepNext/>
      <w:keepLines/>
      <w:widowControl w:val="false"/>
      <w:spacing w:lineRule="auto" w:line="240" w:before="200" w:after="40"/>
    </w:pPr>
    <w:rPr>
      <w:rFonts w:ascii="Calibri" w:hAnsi="Calibri" w:eastAsia="Calibri" w:cs="Calibri"/>
      <w:b/>
      <w:color w:val="auto"/>
      <w:sz w:val="20"/>
      <w:szCs w:val="20"/>
      <w:lang w:val="en-US" w:eastAsia="zh-CN" w:bidi="hi-IN"/>
    </w:rPr>
  </w:style>
  <w:style w:type="character" w:styleId="ListLabel1">
    <w:name w:val="ListLabel 1"/>
    <w:qFormat/>
    <w:rPr>
      <w:rFonts w:eastAsia="Noto Sans Symbols" w:cs="Noto Sans Symbols"/>
    </w:rPr>
  </w:style>
  <w:style w:type="character" w:styleId="ListLabel2">
    <w:name w:val="ListLabel 2"/>
    <w:qFormat/>
    <w:rPr>
      <w:rFonts w:eastAsia="Courier New" w:cs="Courier New"/>
    </w:rPr>
  </w:style>
  <w:style w:type="character" w:styleId="ListLabel3">
    <w:name w:val="ListLabel 3"/>
    <w:qFormat/>
    <w:rPr>
      <w:rFonts w:eastAsia="Noto Sans Symbols" w:cs="Noto Sans Symbols"/>
    </w:rPr>
  </w:style>
  <w:style w:type="character" w:styleId="ListLabel4">
    <w:name w:val="ListLabel 4"/>
    <w:qFormat/>
    <w:rPr>
      <w:rFonts w:eastAsia="Noto Sans Symbols" w:cs="Noto Sans Symbols"/>
    </w:rPr>
  </w:style>
  <w:style w:type="character" w:styleId="ListLabel5">
    <w:name w:val="ListLabel 5"/>
    <w:qFormat/>
    <w:rPr>
      <w:rFonts w:eastAsia="Courier New" w:cs="Courier New"/>
    </w:rPr>
  </w:style>
  <w:style w:type="character" w:styleId="ListLabel6">
    <w:name w:val="ListLabel 6"/>
    <w:qFormat/>
    <w:rPr>
      <w:rFonts w:eastAsia="Noto Sans Symbols" w:cs="Noto Sans Symbols"/>
    </w:rPr>
  </w:style>
  <w:style w:type="character" w:styleId="ListLabel7">
    <w:name w:val="ListLabel 7"/>
    <w:qFormat/>
    <w:rPr>
      <w:rFonts w:eastAsia="Noto Sans Symbols" w:cs="Noto Sans Symbols"/>
    </w:rPr>
  </w:style>
  <w:style w:type="character" w:styleId="ListLabel8">
    <w:name w:val="ListLabel 8"/>
    <w:qFormat/>
    <w:rPr>
      <w:rFonts w:eastAsia="Courier New" w:cs="Courier New"/>
    </w:rPr>
  </w:style>
  <w:style w:type="character" w:styleId="ListLabel9">
    <w:name w:val="ListLabel 9"/>
    <w:qFormat/>
    <w:rPr>
      <w:rFonts w:eastAsia="Noto Sans Symbols" w:cs="Noto Sans Symbols"/>
    </w:rPr>
  </w:style>
  <w:style w:type="character" w:styleId="ListLabel10">
    <w:name w:val="ListLabel 10"/>
    <w:qFormat/>
    <w:rPr>
      <w:u w:val="none"/>
    </w:rPr>
  </w:style>
  <w:style w:type="character" w:styleId="ListLabel11">
    <w:name w:val="ListLabel 11"/>
    <w:qFormat/>
    <w:rPr>
      <w:u w:val="none"/>
    </w:rPr>
  </w:style>
  <w:style w:type="character" w:styleId="ListLabel12">
    <w:name w:val="ListLabel 12"/>
    <w:qFormat/>
    <w:rPr>
      <w:u w:val="none"/>
    </w:rPr>
  </w:style>
  <w:style w:type="character" w:styleId="ListLabel13">
    <w:name w:val="ListLabel 13"/>
    <w:qFormat/>
    <w:rPr>
      <w:u w:val="none"/>
    </w:rPr>
  </w:style>
  <w:style w:type="character" w:styleId="ListLabel14">
    <w:name w:val="ListLabel 14"/>
    <w:qFormat/>
    <w:rPr>
      <w:u w:val="none"/>
    </w:rPr>
  </w:style>
  <w:style w:type="character" w:styleId="ListLabel15">
    <w:name w:val="ListLabel 15"/>
    <w:qFormat/>
    <w:rPr>
      <w:u w:val="none"/>
    </w:rPr>
  </w:style>
  <w:style w:type="character" w:styleId="ListLabel16">
    <w:name w:val="ListLabel 16"/>
    <w:qFormat/>
    <w:rPr>
      <w:u w:val="none"/>
    </w:rPr>
  </w:style>
  <w:style w:type="character" w:styleId="ListLabel17">
    <w:name w:val="ListLabel 17"/>
    <w:qFormat/>
    <w:rPr>
      <w:u w:val="none"/>
    </w:rPr>
  </w:style>
  <w:style w:type="character" w:styleId="ListLabel18">
    <w:name w:val="ListLabel 18"/>
    <w:qFormat/>
    <w:rPr>
      <w:u w:val="none"/>
    </w:rPr>
  </w:style>
  <w:style w:type="character" w:styleId="LienInternet">
    <w:name w:val="Lien Internet"/>
    <w:rPr>
      <w:color w:val="000080"/>
      <w:u w:val="single"/>
      <w:lang w:val="zxx" w:eastAsia="zxx" w:bidi="zxx"/>
    </w:rPr>
  </w:style>
  <w:style w:type="character" w:styleId="ListLabel19">
    <w:name w:val="ListLabel 19"/>
    <w:qFormat/>
    <w:rPr>
      <w:rFonts w:cs="Noto Sans Symbols"/>
    </w:rPr>
  </w:style>
  <w:style w:type="character" w:styleId="ListLabel20">
    <w:name w:val="ListLabel 20"/>
    <w:qFormat/>
    <w:rPr>
      <w:rFonts w:cs="Courier New"/>
    </w:rPr>
  </w:style>
  <w:style w:type="character" w:styleId="ListLabel21">
    <w:name w:val="ListLabel 21"/>
    <w:qFormat/>
    <w:rPr>
      <w:rFonts w:cs="Noto Sans Symbols"/>
    </w:rPr>
  </w:style>
  <w:style w:type="character" w:styleId="ListLabel22">
    <w:name w:val="ListLabel 22"/>
    <w:qFormat/>
    <w:rPr>
      <w:rFonts w:cs="Noto Sans Symbols"/>
    </w:rPr>
  </w:style>
  <w:style w:type="character" w:styleId="ListLabel23">
    <w:name w:val="ListLabel 23"/>
    <w:qFormat/>
    <w:rPr>
      <w:rFonts w:cs="Courier New"/>
    </w:rPr>
  </w:style>
  <w:style w:type="character" w:styleId="ListLabel24">
    <w:name w:val="ListLabel 24"/>
    <w:qFormat/>
    <w:rPr>
      <w:rFonts w:cs="Noto Sans Symbols"/>
    </w:rPr>
  </w:style>
  <w:style w:type="character" w:styleId="ListLabel25">
    <w:name w:val="ListLabel 25"/>
    <w:qFormat/>
    <w:rPr>
      <w:rFonts w:cs="Noto Sans Symbols"/>
    </w:rPr>
  </w:style>
  <w:style w:type="character" w:styleId="ListLabel26">
    <w:name w:val="ListLabel 26"/>
    <w:qFormat/>
    <w:rPr>
      <w:rFonts w:cs="Courier New"/>
    </w:rPr>
  </w:style>
  <w:style w:type="character" w:styleId="ListLabel27">
    <w:name w:val="ListLabel 27"/>
    <w:qFormat/>
    <w:rPr>
      <w:rFonts w:cs="Noto Sans Symbols"/>
    </w:rPr>
  </w:style>
  <w:style w:type="character" w:styleId="ListLabel28">
    <w:name w:val="ListLabel 28"/>
    <w:qFormat/>
    <w:rPr>
      <w:rFonts w:cs="Wingdings"/>
      <w:u w:val="none"/>
    </w:rPr>
  </w:style>
  <w:style w:type="character" w:styleId="ListLabel29">
    <w:name w:val="ListLabel 29"/>
    <w:qFormat/>
    <w:rPr>
      <w:rFonts w:cs="Wingdings 2"/>
      <w:u w:val="none"/>
    </w:rPr>
  </w:style>
  <w:style w:type="character" w:styleId="ListLabel30">
    <w:name w:val="ListLabel 30"/>
    <w:qFormat/>
    <w:rPr>
      <w:rFonts w:cs="OpenSymbol"/>
      <w:u w:val="none"/>
    </w:rPr>
  </w:style>
  <w:style w:type="character" w:styleId="ListLabel31">
    <w:name w:val="ListLabel 31"/>
    <w:qFormat/>
    <w:rPr>
      <w:rFonts w:cs="Wingdings"/>
      <w:u w:val="none"/>
    </w:rPr>
  </w:style>
  <w:style w:type="character" w:styleId="ListLabel32">
    <w:name w:val="ListLabel 32"/>
    <w:qFormat/>
    <w:rPr>
      <w:rFonts w:cs="Wingdings 2"/>
      <w:u w:val="none"/>
    </w:rPr>
  </w:style>
  <w:style w:type="character" w:styleId="ListLabel33">
    <w:name w:val="ListLabel 33"/>
    <w:qFormat/>
    <w:rPr>
      <w:rFonts w:cs="OpenSymbol"/>
      <w:u w:val="none"/>
    </w:rPr>
  </w:style>
  <w:style w:type="character" w:styleId="ListLabel34">
    <w:name w:val="ListLabel 34"/>
    <w:qFormat/>
    <w:rPr>
      <w:rFonts w:cs="Wingdings"/>
      <w:u w:val="none"/>
    </w:rPr>
  </w:style>
  <w:style w:type="character" w:styleId="ListLabel35">
    <w:name w:val="ListLabel 35"/>
    <w:qFormat/>
    <w:rPr>
      <w:rFonts w:cs="Wingdings 2"/>
      <w:u w:val="none"/>
    </w:rPr>
  </w:style>
  <w:style w:type="character" w:styleId="ListLabel36">
    <w:name w:val="ListLabel 36"/>
    <w:qFormat/>
    <w:rPr>
      <w:rFonts w:cs="OpenSymbol"/>
      <w:u w:val="none"/>
    </w:rPr>
  </w:style>
  <w:style w:type="character" w:styleId="Accentuation">
    <w:name w:val="Accentuation"/>
    <w:qFormat/>
    <w:rPr>
      <w:i/>
      <w:iCs/>
    </w:rPr>
  </w:style>
  <w:style w:type="character" w:styleId="Caractresdenumrotation">
    <w:name w:val="Caractères de numérotation"/>
    <w:qFormat/>
    <w:rPr/>
  </w:style>
  <w:style w:type="paragraph" w:styleId="Titre">
    <w:name w:val="Titre"/>
    <w:basedOn w:val="Normal"/>
    <w:next w:val="Corpsdetexte"/>
    <w:qFormat/>
    <w:pPr>
      <w:keepNext/>
      <w:spacing w:before="240" w:after="120"/>
    </w:pPr>
    <w:rPr>
      <w:rFonts w:ascii="Liberation Sans" w:hAnsi="Liberation Sans" w:eastAsia="Noto Sans CJK SC Regular" w:cs="FreeSans"/>
      <w:sz w:val="28"/>
      <w:szCs w:val="28"/>
    </w:rPr>
  </w:style>
  <w:style w:type="paragraph" w:styleId="Corpsdetexte">
    <w:name w:val="Body Text"/>
    <w:basedOn w:val="Normal"/>
    <w:pPr>
      <w:spacing w:lineRule="auto" w:line="288" w:before="0" w:after="140"/>
    </w:pPr>
    <w:rPr/>
  </w:style>
  <w:style w:type="paragraph" w:styleId="Liste">
    <w:name w:val="List"/>
    <w:basedOn w:val="Corpsdetexte"/>
    <w:pPr/>
    <w:rPr>
      <w:rFonts w:cs="FreeSans"/>
    </w:rPr>
  </w:style>
  <w:style w:type="paragraph" w:styleId="Lgende">
    <w:name w:val="Caption"/>
    <w:basedOn w:val="Normal"/>
    <w:qFormat/>
    <w:pPr>
      <w:suppressLineNumbers/>
      <w:spacing w:before="120" w:after="120"/>
    </w:pPr>
    <w:rPr>
      <w:rFonts w:cs="FreeSans"/>
      <w:i/>
      <w:iCs/>
      <w:sz w:val="24"/>
      <w:szCs w:val="24"/>
    </w:rPr>
  </w:style>
  <w:style w:type="paragraph" w:styleId="Index">
    <w:name w:val="Index"/>
    <w:basedOn w:val="Normal"/>
    <w:qFormat/>
    <w:pPr>
      <w:suppressLineNumbers/>
    </w:pPr>
    <w:rPr>
      <w:rFonts w:cs="FreeSans"/>
    </w:rPr>
  </w:style>
  <w:style w:type="paragraph" w:styleId="LOnormal" w:default="1">
    <w:name w:val="LO-normal"/>
    <w:qFormat/>
    <w:pPr>
      <w:widowControl/>
      <w:bidi w:val="0"/>
      <w:jc w:val="left"/>
    </w:pPr>
    <w:rPr>
      <w:rFonts w:ascii="Calibri" w:hAnsi="Calibri" w:eastAsia="Calibri" w:cs="Calibri"/>
      <w:color w:val="00000A"/>
      <w:sz w:val="22"/>
      <w:szCs w:val="22"/>
      <w:lang w:val="en-US" w:eastAsia="zh-CN" w:bidi="hi-IN"/>
    </w:rPr>
  </w:style>
  <w:style w:type="paragraph" w:styleId="Titreprincipal">
    <w:name w:val="Title"/>
    <w:basedOn w:val="LOnormal"/>
    <w:next w:val="Normal"/>
    <w:qFormat/>
    <w:pPr>
      <w:keepNext/>
      <w:keepLines/>
      <w:spacing w:lineRule="auto" w:line="240" w:before="480" w:after="120"/>
    </w:pPr>
    <w:rPr>
      <w:b/>
      <w:sz w:val="72"/>
      <w:szCs w:val="72"/>
    </w:rPr>
  </w:style>
  <w:style w:type="paragraph" w:styleId="Soustitre">
    <w:name w:val="Subtitle"/>
    <w:basedOn w:val="LOnormal"/>
    <w:next w:val="Normal"/>
    <w:qFormat/>
    <w:pPr>
      <w:keepNext/>
      <w:keepLines/>
      <w:spacing w:lineRule="auto" w:line="240" w:before="360" w:after="80"/>
    </w:pPr>
    <w:rPr>
      <w:rFonts w:ascii="Georgia" w:hAnsi="Georgia" w:eastAsia="Georgia" w:cs="Georgia"/>
      <w:i/>
      <w:color w:val="666666"/>
      <w:sz w:val="48"/>
      <w:szCs w:val="48"/>
    </w:rPr>
  </w:style>
  <w:style w:type="paragraph" w:styleId="NoParagraphStyle">
    <w:name w:val="[No Paragraph Style]"/>
    <w:qFormat/>
    <w:pPr>
      <w:widowControl/>
      <w:bidi w:val="0"/>
      <w:spacing w:lineRule="auto" w:line="288" w:before="0" w:after="0"/>
      <w:jc w:val="left"/>
      <w:textAlignment w:val="center"/>
    </w:pPr>
    <w:rPr>
      <w:rFonts w:ascii="Minion Pro" w:hAnsi="Minion Pro" w:eastAsia="Calibri" w:cs="Minion Pro"/>
      <w:color w:val="000000"/>
      <w:sz w:val="24"/>
      <w:szCs w:val="24"/>
      <w:lang w:val="en-US" w:eastAsia="en-US" w:bidi="ar-SA"/>
    </w:rPr>
  </w:style>
  <w:style w:type="paragraph" w:styleId="CVPublicationshangingindent">
    <w:name w:val="CV Publications hanging indent"/>
    <w:basedOn w:val="NoParagraphStyle"/>
    <w:qFormat/>
    <w:pPr>
      <w:tabs>
        <w:tab w:val="left" w:pos="0" w:leader="none"/>
      </w:tabs>
      <w:spacing w:lineRule="atLeast" w:line="240"/>
      <w:ind w:left="360" w:hanging="360"/>
    </w:pPr>
    <w:rPr>
      <w:rFonts w:ascii="Arial" w:hAnsi="Arial" w:cs="Calibri"/>
      <w:sz w:val="21"/>
      <w:szCs w:val="23"/>
    </w:rPr>
  </w:style>
  <w:style w:type="table" w:default="1" w:styleId="TableNormal">
    <w:name w:val="Table Normal"/>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hyperlink" Target="mailto:aymeric.spiga@sorbonne-universite.fr" TargetMode="External"/><Relationship Id="rId5" Type="http://schemas.openxmlformats.org/officeDocument/2006/relationships/hyperlink" Target="http://www.lmd.jussieu.fr/~aslmd/" TargetMode="Externa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
  <TotalTime>8</TotalTime>
  <Application>LibreOffice/5.1.6.2$Linux_X86_64 LibreOffice_project/10m0$Build-2</Application>
  <Pages>1</Pages>
  <Words>418</Words>
  <Characters>2537</Characters>
  <CharactersWithSpaces>2905</CharactersWithSpaces>
  <Paragraphs>40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fr-FR</dc:language>
  <cp:lastModifiedBy>Aymeric Spiga</cp:lastModifiedBy>
  <dcterms:modified xsi:type="dcterms:W3CDTF">2019-09-03T14:07:39Z</dcterms:modified>
  <cp:revision>3</cp:revision>
  <dc:subject/>
  <dc:title/>
</cp:coreProperties>
</file>